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ED0" w:rsidRPr="007460B9" w:rsidRDefault="00726ED0" w:rsidP="00726ED0">
      <w:pPr>
        <w:pStyle w:val="Titre1"/>
        <w:rPr>
          <w:rFonts w:eastAsia="Calibri"/>
          <w:szCs w:val="20"/>
        </w:rPr>
      </w:pPr>
      <w:bookmarkStart w:id="0" w:name="_Toc511804225"/>
      <w:bookmarkStart w:id="1" w:name="_GoBack"/>
      <w:r>
        <w:t xml:space="preserve">Art. </w:t>
      </w:r>
      <w:r w:rsidR="00F564CE">
        <w:t>28</w:t>
      </w:r>
      <w:r>
        <w:tab/>
      </w:r>
      <w:r w:rsidRPr="007460B9">
        <w:t>Zones de servitude «urbanisation»</w:t>
      </w:r>
      <w:bookmarkEnd w:id="0"/>
    </w:p>
    <w:p w:rsidR="00726ED0" w:rsidRDefault="00726ED0" w:rsidP="00726ED0">
      <w:r w:rsidRPr="003C2278">
        <w:t xml:space="preserve">Les zones de servitude «urbanisation» </w:t>
      </w:r>
      <w:r>
        <w:t xml:space="preserve">constituent des zones superposées qui </w:t>
      </w:r>
      <w:r w:rsidRPr="003C2278">
        <w:t>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rsidR="00726ED0" w:rsidRPr="00432D82" w:rsidRDefault="00726ED0" w:rsidP="00726ED0">
      <w:r w:rsidRPr="00633EC2">
        <w:rPr>
          <w:lang w:val="fr-CH"/>
        </w:rPr>
        <w:t>Les prescriptions y relatives sont détaillées ci-après par type de servitude, applicable</w:t>
      </w:r>
      <w:r>
        <w:rPr>
          <w:lang w:val="fr-CH"/>
        </w:rPr>
        <w:t>s</w:t>
      </w:r>
      <w:r w:rsidRPr="00633EC2">
        <w:rPr>
          <w:lang w:val="fr-CH"/>
        </w:rPr>
        <w:t xml:space="preserve"> </w:t>
      </w:r>
      <w:r w:rsidRPr="00432D82">
        <w:t>dans les zones telles que indiquées par une ou plusieurs servitudes dans la partie graphique du PAG.</w:t>
      </w:r>
    </w:p>
    <w:p w:rsidR="00726ED0" w:rsidRPr="00DC4CDA" w:rsidRDefault="00726ED0" w:rsidP="00726ED0">
      <w:pPr>
        <w:rPr>
          <w:lang w:val="fr-CH"/>
        </w:rPr>
      </w:pPr>
      <w:r w:rsidRPr="00CC3218">
        <w:rPr>
          <w:lang w:val="fr-CH"/>
        </w:rPr>
        <w:t>Le plan d’aménagement particulier « nouveau quartier », le concept d’aménagement et/ou le lotissement respectivement le projet de construction doivent préciser les servitudes.</w:t>
      </w:r>
    </w:p>
    <w:p w:rsidR="00726ED0" w:rsidRDefault="00726ED0" w:rsidP="00726ED0">
      <w:pPr>
        <w:rPr>
          <w:rFonts w:cs="Arial"/>
          <w:szCs w:val="20"/>
        </w:rPr>
      </w:pPr>
      <w:r w:rsidRPr="00CB1DCB">
        <w:rPr>
          <w:rFonts w:cs="Arial"/>
          <w:szCs w:val="20"/>
        </w:rPr>
        <w:t>Les zones de servitude «</w:t>
      </w:r>
      <w:r>
        <w:rPr>
          <w:rFonts w:cs="Arial"/>
          <w:szCs w:val="20"/>
        </w:rPr>
        <w:t> </w:t>
      </w:r>
      <w:r w:rsidRPr="00CB1DCB">
        <w:rPr>
          <w:rFonts w:cs="Arial"/>
          <w:szCs w:val="20"/>
        </w:rPr>
        <w:t>urbanisation</w:t>
      </w:r>
      <w:r>
        <w:rPr>
          <w:rFonts w:cs="Arial"/>
          <w:szCs w:val="20"/>
        </w:rPr>
        <w:t> </w:t>
      </w:r>
      <w:r w:rsidRPr="00CB1DCB">
        <w:rPr>
          <w:rFonts w:cs="Arial"/>
          <w:szCs w:val="20"/>
        </w:rPr>
        <w:t xml:space="preserve">» sont </w:t>
      </w:r>
      <w:r>
        <w:rPr>
          <w:rFonts w:cs="Arial"/>
          <w:szCs w:val="20"/>
        </w:rPr>
        <w:t>définies comme suit:</w:t>
      </w:r>
    </w:p>
    <w:p w:rsidR="00726ED0" w:rsidRPr="00033221" w:rsidRDefault="00726ED0" w:rsidP="00726ED0">
      <w:pPr>
        <w:pStyle w:val="Titre4"/>
      </w:pPr>
      <w:r w:rsidRPr="00BE7A65">
        <w:t>CV</w:t>
      </w:r>
      <w:r>
        <w:t xml:space="preserve"> - </w:t>
      </w:r>
      <w:r w:rsidRPr="00BE7A65">
        <w:t>Zones de servitude « urbanisation – coulée verte »</w:t>
      </w:r>
      <w:r w:rsidRPr="00944D8D">
        <w:t xml:space="preserve"> </w:t>
      </w:r>
    </w:p>
    <w:p w:rsidR="002267CF" w:rsidRPr="005E5A6B" w:rsidRDefault="002267CF" w:rsidP="002267CF">
      <w:pPr>
        <w:ind w:left="851"/>
        <w:rPr>
          <w:rFonts w:cs="Arial"/>
          <w:szCs w:val="20"/>
          <w:lang w:val="fr-CH"/>
        </w:rPr>
      </w:pPr>
      <w:r w:rsidRPr="00BE7A65">
        <w:rPr>
          <w:rFonts w:cs="Arial"/>
          <w:szCs w:val="20"/>
          <w:lang w:val="fr-FR"/>
        </w:rPr>
        <w:t>Les zones de servitude « urbanisation – </w:t>
      </w:r>
      <w:r w:rsidRPr="00BE7A65">
        <w:t>coulée verte</w:t>
      </w:r>
      <w:r w:rsidRPr="00BE7A65">
        <w:rPr>
          <w:b/>
        </w:rPr>
        <w:t> </w:t>
      </w:r>
      <w:r w:rsidRPr="00BE7A65">
        <w:rPr>
          <w:rFonts w:cs="Arial"/>
          <w:szCs w:val="20"/>
          <w:lang w:val="fr-FR"/>
        </w:rPr>
        <w:t xml:space="preserve">» </w:t>
      </w:r>
      <w:r w:rsidRPr="00BE7A65">
        <w:rPr>
          <w:rFonts w:eastAsia="Calibri" w:cs="Arial"/>
          <w:iCs/>
          <w:szCs w:val="20"/>
          <w:lang w:eastAsia="fr-LU"/>
        </w:rPr>
        <w:t>visent</w:t>
      </w:r>
      <w:r w:rsidRPr="00BE7A65">
        <w:rPr>
          <w:rFonts w:cs="Arial"/>
          <w:szCs w:val="20"/>
          <w:lang w:val="fr-FR"/>
        </w:rPr>
        <w:t xml:space="preserve"> à réserver les surfaces nécessaires à la réalisation de parcs publics, d’espaces verts ouverts au public, d’îlots de verdure et de surfaces de jeux, de loisir, de détente et de repos</w:t>
      </w:r>
      <w:r w:rsidRPr="00F458F6">
        <w:rPr>
          <w:rFonts w:cs="Arial"/>
          <w:szCs w:val="20"/>
          <w:lang w:val="fr-FR"/>
        </w:rPr>
        <w:t xml:space="preserve">. </w:t>
      </w:r>
      <w:r w:rsidRPr="00F458F6">
        <w:rPr>
          <w:szCs w:val="20"/>
          <w:lang w:val="fr-FR"/>
        </w:rPr>
        <w:t xml:space="preserve">Ces zones </w:t>
      </w:r>
      <w:r w:rsidRPr="00F458F6">
        <w:rPr>
          <w:rFonts w:cs="Arial"/>
          <w:szCs w:val="20"/>
          <w:lang w:val="fr-CH"/>
        </w:rPr>
        <w:t xml:space="preserve">visent à développer et/ou à maintenir le maillage écologique et un aménagement paysager composé </w:t>
      </w:r>
      <w:r w:rsidRPr="00F458F6">
        <w:rPr>
          <w:lang w:val="fr-FR"/>
        </w:rPr>
        <w:t>majoritairement par des</w:t>
      </w:r>
      <w:r w:rsidRPr="00F458F6" w:rsidDel="00CC3218">
        <w:rPr>
          <w:rFonts w:cs="Arial"/>
          <w:szCs w:val="20"/>
          <w:lang w:val="fr-CH"/>
        </w:rPr>
        <w:t xml:space="preserve"> </w:t>
      </w:r>
      <w:r w:rsidRPr="00F458F6">
        <w:rPr>
          <w:rFonts w:cs="Arial"/>
          <w:szCs w:val="20"/>
          <w:lang w:val="fr-CH"/>
        </w:rPr>
        <w:t>espèces indigènes est à prévoir. Les cours d’eau doivent être aménagés et/ou renaturés de manière écologique.</w:t>
      </w:r>
    </w:p>
    <w:p w:rsidR="002267CF" w:rsidRPr="009037C9" w:rsidRDefault="002267CF" w:rsidP="002267CF">
      <w:pPr>
        <w:pStyle w:val="Corpsdetexte"/>
        <w:ind w:left="851"/>
        <w:rPr>
          <w:lang w:val="fr-CH"/>
        </w:rPr>
      </w:pPr>
      <w:r w:rsidRPr="009037C9">
        <w:rPr>
          <w:szCs w:val="20"/>
          <w:lang w:val="fr-FR"/>
        </w:rPr>
        <w:t>Dans ces zones des aménagements, équipements et constructions en relation avec la zone et des chemins dédiés à la mobilité douce sont admis</w:t>
      </w:r>
      <w:r w:rsidRPr="009037C9">
        <w:rPr>
          <w:lang w:val="fr-CH"/>
        </w:rPr>
        <w:t xml:space="preserve"> sous condition que ces infrastructures soient aménagées selon les principes d’un aménagement écologique.</w:t>
      </w:r>
    </w:p>
    <w:p w:rsidR="002267CF" w:rsidRPr="008C16A0" w:rsidRDefault="002267CF" w:rsidP="002267CF">
      <w:pPr>
        <w:pStyle w:val="Corpsdetexte"/>
        <w:ind w:left="851"/>
        <w:rPr>
          <w:strike/>
        </w:rPr>
      </w:pPr>
      <w:r w:rsidRPr="009037C9">
        <w:rPr>
          <w:lang w:val="fr-CH"/>
        </w:rPr>
        <w:t>Seuls des chemins dédiés à la mobilité douce, des réseaux d’infrastructures,</w:t>
      </w:r>
      <w:r w:rsidRPr="008C16A0">
        <w:rPr>
          <w:lang w:val="fr-CH"/>
        </w:rPr>
        <w:t xml:space="preserve"> </w:t>
      </w:r>
      <w:r w:rsidRPr="009037C9">
        <w:rPr>
          <w:lang w:val="fr-CH"/>
        </w:rPr>
        <w:t xml:space="preserve">ainsi que des espaces de rétention y sont autorisés ; sous condition que ces infrastructures soient aménagées selon les principes d’un aménagement écologique. </w:t>
      </w:r>
      <w:r w:rsidRPr="002E08D0">
        <w:rPr>
          <w:lang w:val="fr-CH"/>
        </w:rPr>
        <w:t>Ces chemins peuvent recevoir une couche de roulement en béton, en dallage ou en asphalte bitumineux, sous condition d’un usage régulier.</w:t>
      </w:r>
      <w:r w:rsidRPr="009037C9">
        <w:rPr>
          <w:szCs w:val="20"/>
        </w:rPr>
        <w:t xml:space="preserve"> </w:t>
      </w:r>
    </w:p>
    <w:p w:rsidR="002267CF" w:rsidRPr="008C16A0" w:rsidRDefault="002267CF" w:rsidP="002267CF">
      <w:pPr>
        <w:pStyle w:val="Corpsdetexte"/>
        <w:ind w:left="851"/>
        <w:rPr>
          <w:szCs w:val="20"/>
          <w:lang w:val="fr-FR"/>
        </w:rPr>
      </w:pPr>
      <w:r w:rsidRPr="008C16A0">
        <w:t xml:space="preserve">Afin de ne pas prohiber le développement d’un </w:t>
      </w:r>
      <w:r w:rsidRPr="008C16A0">
        <w:rPr>
          <w:lang w:val="fr-CH"/>
        </w:rPr>
        <w:t>plan d’aménagement particulier « nouveau quartier », d’un concept d’aménagement et/ou d’un lotissement respectivement, des légères adaptions de la zone sont permises.</w:t>
      </w:r>
      <w:bookmarkEnd w:id="1"/>
    </w:p>
    <w:sectPr w:rsidR="002267CF" w:rsidRPr="008C16A0"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215161"/>
    <w:rsid w:val="002267CF"/>
    <w:rsid w:val="002D7515"/>
    <w:rsid w:val="002E08D0"/>
    <w:rsid w:val="003106D1"/>
    <w:rsid w:val="00400EF4"/>
    <w:rsid w:val="00446C4C"/>
    <w:rsid w:val="00726ED0"/>
    <w:rsid w:val="00776C47"/>
    <w:rsid w:val="007E045D"/>
    <w:rsid w:val="00835E81"/>
    <w:rsid w:val="008A2154"/>
    <w:rsid w:val="008B324D"/>
    <w:rsid w:val="00A05EEB"/>
    <w:rsid w:val="00A0781F"/>
    <w:rsid w:val="00F564CE"/>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358D9-D664-4B6C-806C-265BEDDE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2D7515"/>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2D7515"/>
    <w:pPr>
      <w:outlineLvl w:val="1"/>
    </w:pPr>
    <w:rPr>
      <w:i/>
    </w:r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D7515"/>
    <w:rPr>
      <w:rFonts w:ascii="Arial" w:eastAsia="Arial" w:hAnsi="Arial" w:cs="Arial"/>
      <w:b/>
      <w:noProof/>
      <w:w w:val="102"/>
      <w:szCs w:val="26"/>
      <w:lang w:val="fr-FR"/>
    </w:rPr>
  </w:style>
  <w:style w:type="character" w:customStyle="1" w:styleId="Titre2Car">
    <w:name w:val="Titre 2 Car"/>
    <w:basedOn w:val="Policepardfaut"/>
    <w:link w:val="Titre2"/>
    <w:uiPriority w:val="9"/>
    <w:rsid w:val="002D7515"/>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1964</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6</cp:revision>
  <dcterms:created xsi:type="dcterms:W3CDTF">2018-04-19T09:52:00Z</dcterms:created>
  <dcterms:modified xsi:type="dcterms:W3CDTF">2019-12-10T14:36:00Z</dcterms:modified>
</cp:coreProperties>
</file>